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5210" w14:textId="4DFD6E6E" w:rsidR="005249EB" w:rsidRPr="005249EB" w:rsidRDefault="005249EB" w:rsidP="005249E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jc w:val="center"/>
        <w:rPr>
          <w:rFonts w:ascii="Helvetica" w:hAnsi="Helvetica"/>
          <w:b/>
          <w:bCs/>
          <w:color w:val="7030A0"/>
          <w:sz w:val="28"/>
          <w:szCs w:val="28"/>
        </w:rPr>
      </w:pPr>
      <w:bookmarkStart w:id="0" w:name="_Hlk171069171"/>
      <w:r w:rsidRPr="005249EB">
        <w:rPr>
          <w:rFonts w:ascii="Helvetica" w:hAnsi="Helvetica"/>
          <w:b/>
          <w:bCs/>
          <w:color w:val="7030A0"/>
          <w:sz w:val="28"/>
          <w:szCs w:val="28"/>
        </w:rPr>
        <w:t>Procedura aperta - svolta in modalità telematica - per l'affidamento biennale dei servizi alla persona, accessori, domiciliari e territoriali, nel Comune di Laterina Pergine Valdarno (AR)</w:t>
      </w:r>
      <w:bookmarkEnd w:id="0"/>
    </w:p>
    <w:p w14:paraId="2A99443E" w14:textId="77777777" w:rsidR="002B6FD5" w:rsidRDefault="002B6FD5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lastRenderedPageBreak/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proofErr w:type="spellStart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</w:t>
    </w:r>
    <w:proofErr w:type="spellEnd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16309">
    <w:abstractNumId w:val="0"/>
  </w:num>
  <w:num w:numId="2" w16cid:durableId="161359742">
    <w:abstractNumId w:val="4"/>
  </w:num>
  <w:num w:numId="3" w16cid:durableId="1618297913">
    <w:abstractNumId w:val="3"/>
  </w:num>
  <w:num w:numId="4" w16cid:durableId="1425611907">
    <w:abstractNumId w:val="1"/>
  </w:num>
  <w:num w:numId="5" w16cid:durableId="193327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A20D6"/>
    <w:rsid w:val="002B213C"/>
    <w:rsid w:val="002B6FD5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49EB"/>
    <w:rsid w:val="00525619"/>
    <w:rsid w:val="0052736F"/>
    <w:rsid w:val="00565E5F"/>
    <w:rsid w:val="005679DB"/>
    <w:rsid w:val="00571050"/>
    <w:rsid w:val="005C76CF"/>
    <w:rsid w:val="005E5057"/>
    <w:rsid w:val="005F5906"/>
    <w:rsid w:val="006020E7"/>
    <w:rsid w:val="00604D10"/>
    <w:rsid w:val="00637733"/>
    <w:rsid w:val="00637F53"/>
    <w:rsid w:val="00661B99"/>
    <w:rsid w:val="0066664F"/>
    <w:rsid w:val="00685C12"/>
    <w:rsid w:val="006B0FC3"/>
    <w:rsid w:val="006D1099"/>
    <w:rsid w:val="006D5714"/>
    <w:rsid w:val="006D649B"/>
    <w:rsid w:val="006F49E6"/>
    <w:rsid w:val="00704214"/>
    <w:rsid w:val="00733024"/>
    <w:rsid w:val="0075647B"/>
    <w:rsid w:val="00773686"/>
    <w:rsid w:val="007859E1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332AA"/>
    <w:rsid w:val="00A44EC1"/>
    <w:rsid w:val="00AB4709"/>
    <w:rsid w:val="00AC558C"/>
    <w:rsid w:val="00AD378C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67D80"/>
    <w:rsid w:val="00F7147C"/>
    <w:rsid w:val="00F82797"/>
    <w:rsid w:val="00F9187D"/>
    <w:rsid w:val="00FA7860"/>
    <w:rsid w:val="00FC343F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17</cp:revision>
  <dcterms:created xsi:type="dcterms:W3CDTF">2023-12-18T16:23:00Z</dcterms:created>
  <dcterms:modified xsi:type="dcterms:W3CDTF">2025-05-12T09:03:00Z</dcterms:modified>
</cp:coreProperties>
</file>